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1253"/>
        <w:gridCol w:w="4562"/>
        <w:gridCol w:w="945"/>
        <w:gridCol w:w="1679"/>
        <w:gridCol w:w="1679"/>
        <w:gridCol w:w="877"/>
        <w:gridCol w:w="4398"/>
      </w:tblGrid>
      <w:tr w:rsidR="003E572C" w:rsidRPr="009A6EFB" w14:paraId="28586EE9" w14:textId="455A4F4E" w:rsidTr="003E572C">
        <w:tc>
          <w:tcPr>
            <w:tcW w:w="1253" w:type="dxa"/>
            <w:vMerge w:val="restart"/>
          </w:tcPr>
          <w:p w14:paraId="7FCFDFD2" w14:textId="77777777" w:rsidR="003E572C" w:rsidRPr="009A6EFB" w:rsidRDefault="003E572C" w:rsidP="005903A2">
            <w:pPr>
              <w:rPr>
                <w:b/>
                <w:bCs/>
              </w:rPr>
            </w:pPr>
            <w:r>
              <w:rPr>
                <w:b/>
                <w:bCs/>
              </w:rPr>
              <w:t>Standard</w:t>
            </w:r>
            <w:r w:rsidRPr="009A6EFB">
              <w:rPr>
                <w:b/>
                <w:bCs/>
              </w:rPr>
              <w:t xml:space="preserve"> </w:t>
            </w:r>
          </w:p>
        </w:tc>
        <w:tc>
          <w:tcPr>
            <w:tcW w:w="4562" w:type="dxa"/>
            <w:vMerge w:val="restart"/>
          </w:tcPr>
          <w:p w14:paraId="64CA8634" w14:textId="77777777" w:rsidR="003E572C" w:rsidRPr="009A6EFB" w:rsidRDefault="003E572C" w:rsidP="005903A2">
            <w:pPr>
              <w:rPr>
                <w:b/>
                <w:bCs/>
              </w:rPr>
            </w:pPr>
            <w:r w:rsidRPr="009A6EFB">
              <w:rPr>
                <w:b/>
                <w:bCs/>
              </w:rPr>
              <w:t>Agenda Item</w:t>
            </w:r>
          </w:p>
        </w:tc>
        <w:tc>
          <w:tcPr>
            <w:tcW w:w="5180" w:type="dxa"/>
            <w:gridSpan w:val="4"/>
          </w:tcPr>
          <w:p w14:paraId="488B701A" w14:textId="16D1A623" w:rsidR="003E572C" w:rsidRPr="009A6EFB" w:rsidRDefault="003E572C" w:rsidP="005903A2">
            <w:pPr>
              <w:jc w:val="center"/>
              <w:rPr>
                <w:b/>
                <w:bCs/>
              </w:rPr>
            </w:pPr>
            <w:r w:rsidRPr="009A6EFB">
              <w:rPr>
                <w:b/>
                <w:bCs/>
              </w:rPr>
              <w:t>Suggested Frequency</w:t>
            </w:r>
            <w:r w:rsidRPr="003C11BA">
              <w:rPr>
                <w:b/>
                <w:bCs/>
                <w:vertAlign w:val="superscript"/>
              </w:rPr>
              <w:t>1</w:t>
            </w:r>
          </w:p>
        </w:tc>
        <w:tc>
          <w:tcPr>
            <w:tcW w:w="4398" w:type="dxa"/>
            <w:vMerge w:val="restart"/>
          </w:tcPr>
          <w:p w14:paraId="34A13C0D" w14:textId="4EB94FFC" w:rsidR="003E572C" w:rsidRPr="009A6EFB" w:rsidRDefault="003E572C" w:rsidP="005903A2">
            <w:pPr>
              <w:jc w:val="center"/>
              <w:rPr>
                <w:b/>
                <w:bCs/>
              </w:rPr>
            </w:pPr>
            <w:r>
              <w:rPr>
                <w:b/>
                <w:bCs/>
              </w:rPr>
              <w:t>Senior Management Role</w:t>
            </w:r>
          </w:p>
        </w:tc>
      </w:tr>
      <w:tr w:rsidR="003E572C" w:rsidRPr="009A6EFB" w14:paraId="51BA74C7" w14:textId="2BBCE270" w:rsidTr="003E572C">
        <w:tc>
          <w:tcPr>
            <w:tcW w:w="1253" w:type="dxa"/>
            <w:vMerge/>
          </w:tcPr>
          <w:p w14:paraId="63A3B5D6" w14:textId="77777777" w:rsidR="003E572C" w:rsidRPr="009A6EFB" w:rsidRDefault="003E572C" w:rsidP="005903A2">
            <w:pPr>
              <w:rPr>
                <w:b/>
                <w:bCs/>
              </w:rPr>
            </w:pPr>
          </w:p>
        </w:tc>
        <w:tc>
          <w:tcPr>
            <w:tcW w:w="4562" w:type="dxa"/>
            <w:vMerge/>
          </w:tcPr>
          <w:p w14:paraId="1A83C0BD" w14:textId="77777777" w:rsidR="003E572C" w:rsidRPr="009A6EFB" w:rsidRDefault="003E572C" w:rsidP="005903A2">
            <w:pPr>
              <w:rPr>
                <w:b/>
                <w:bCs/>
              </w:rPr>
            </w:pPr>
          </w:p>
        </w:tc>
        <w:tc>
          <w:tcPr>
            <w:tcW w:w="945" w:type="dxa"/>
          </w:tcPr>
          <w:p w14:paraId="1F312E4A" w14:textId="77777777" w:rsidR="003E572C" w:rsidRDefault="003E572C" w:rsidP="005903A2">
            <w:pPr>
              <w:jc w:val="center"/>
              <w:rPr>
                <w:b/>
                <w:bCs/>
              </w:rPr>
            </w:pPr>
            <w:r>
              <w:rPr>
                <w:b/>
                <w:bCs/>
              </w:rPr>
              <w:t>Other/</w:t>
            </w:r>
          </w:p>
          <w:p w14:paraId="4B85DF03" w14:textId="1123A302" w:rsidR="003E572C" w:rsidRPr="009A6EFB" w:rsidRDefault="003E572C" w:rsidP="005903A2">
            <w:pPr>
              <w:jc w:val="center"/>
              <w:rPr>
                <w:b/>
                <w:bCs/>
              </w:rPr>
            </w:pPr>
            <w:r>
              <w:rPr>
                <w:b/>
                <w:bCs/>
              </w:rPr>
              <w:t>TBD</w:t>
            </w:r>
          </w:p>
        </w:tc>
        <w:tc>
          <w:tcPr>
            <w:tcW w:w="1679" w:type="dxa"/>
          </w:tcPr>
          <w:p w14:paraId="69C95373" w14:textId="77777777" w:rsidR="003E572C" w:rsidRPr="009A6EFB" w:rsidRDefault="003E572C" w:rsidP="005903A2">
            <w:pPr>
              <w:jc w:val="center"/>
              <w:rPr>
                <w:b/>
                <w:bCs/>
              </w:rPr>
            </w:pPr>
            <w:r w:rsidRPr="009A6EFB">
              <w:rPr>
                <w:b/>
                <w:bCs/>
              </w:rPr>
              <w:t>Annually</w:t>
            </w:r>
          </w:p>
        </w:tc>
        <w:tc>
          <w:tcPr>
            <w:tcW w:w="1679" w:type="dxa"/>
          </w:tcPr>
          <w:p w14:paraId="6B93490D" w14:textId="77777777" w:rsidR="003E572C" w:rsidRPr="009A6EFB" w:rsidRDefault="003E572C" w:rsidP="005903A2">
            <w:pPr>
              <w:jc w:val="center"/>
              <w:rPr>
                <w:b/>
                <w:bCs/>
              </w:rPr>
            </w:pPr>
            <w:r w:rsidRPr="009A6EFB">
              <w:rPr>
                <w:b/>
                <w:bCs/>
              </w:rPr>
              <w:t>Every Meeting</w:t>
            </w:r>
          </w:p>
        </w:tc>
        <w:tc>
          <w:tcPr>
            <w:tcW w:w="877" w:type="dxa"/>
          </w:tcPr>
          <w:p w14:paraId="0C66759B" w14:textId="096F8DA5" w:rsidR="003E572C" w:rsidRPr="009A6EFB" w:rsidRDefault="003E572C" w:rsidP="005903A2">
            <w:pPr>
              <w:jc w:val="center"/>
              <w:rPr>
                <w:b/>
                <w:bCs/>
              </w:rPr>
            </w:pPr>
            <w:r>
              <w:rPr>
                <w:b/>
                <w:bCs/>
              </w:rPr>
              <w:t>Before 2025</w:t>
            </w:r>
            <w:r w:rsidRPr="003C11BA">
              <w:rPr>
                <w:b/>
                <w:bCs/>
                <w:vertAlign w:val="superscript"/>
              </w:rPr>
              <w:t>2</w:t>
            </w:r>
          </w:p>
        </w:tc>
        <w:tc>
          <w:tcPr>
            <w:tcW w:w="4398" w:type="dxa"/>
            <w:vMerge/>
          </w:tcPr>
          <w:p w14:paraId="0847BCE8" w14:textId="77777777" w:rsidR="003E572C" w:rsidRDefault="003E572C" w:rsidP="005903A2">
            <w:pPr>
              <w:jc w:val="center"/>
              <w:rPr>
                <w:b/>
                <w:bCs/>
              </w:rPr>
            </w:pPr>
          </w:p>
        </w:tc>
      </w:tr>
      <w:tr w:rsidR="003E572C" w14:paraId="12156B03" w14:textId="529FF340" w:rsidTr="003E572C">
        <w:tc>
          <w:tcPr>
            <w:tcW w:w="1253" w:type="dxa"/>
          </w:tcPr>
          <w:p w14:paraId="791EDC58" w14:textId="77777777" w:rsidR="003E572C" w:rsidRDefault="003E572C" w:rsidP="005903A2">
            <w:r>
              <w:t>NEW</w:t>
            </w:r>
          </w:p>
          <w:p w14:paraId="58E27DD2" w14:textId="7D3B1388" w:rsidR="003E572C" w:rsidRDefault="003E572C" w:rsidP="001E7B3A">
            <w:r>
              <w:t>Domain III</w:t>
            </w:r>
          </w:p>
        </w:tc>
        <w:tc>
          <w:tcPr>
            <w:tcW w:w="4562" w:type="dxa"/>
          </w:tcPr>
          <w:p w14:paraId="0401CD31" w14:textId="5D32B448" w:rsidR="003E572C" w:rsidRDefault="003E572C" w:rsidP="005903A2">
            <w:r>
              <w:t>Discussion of Domains I and III</w:t>
            </w:r>
            <w:r w:rsidRPr="003C11BA">
              <w:rPr>
                <w:vertAlign w:val="superscript"/>
              </w:rPr>
              <w:t>3</w:t>
            </w:r>
          </w:p>
        </w:tc>
        <w:tc>
          <w:tcPr>
            <w:tcW w:w="945" w:type="dxa"/>
          </w:tcPr>
          <w:p w14:paraId="5429737E" w14:textId="754E3D73" w:rsidR="003E572C" w:rsidRDefault="003E572C" w:rsidP="005903A2">
            <w:pPr>
              <w:jc w:val="center"/>
            </w:pPr>
            <w:r>
              <w:sym w:font="Wingdings" w:char="F0FC"/>
            </w:r>
          </w:p>
        </w:tc>
        <w:tc>
          <w:tcPr>
            <w:tcW w:w="1679" w:type="dxa"/>
          </w:tcPr>
          <w:p w14:paraId="5540866F" w14:textId="6507BF99" w:rsidR="003E572C" w:rsidRDefault="003E572C" w:rsidP="005903A2">
            <w:pPr>
              <w:jc w:val="center"/>
            </w:pPr>
          </w:p>
        </w:tc>
        <w:tc>
          <w:tcPr>
            <w:tcW w:w="1679" w:type="dxa"/>
          </w:tcPr>
          <w:p w14:paraId="27722C1D" w14:textId="77777777" w:rsidR="003E572C" w:rsidRDefault="003E572C" w:rsidP="005903A2">
            <w:pPr>
              <w:jc w:val="center"/>
            </w:pPr>
          </w:p>
        </w:tc>
        <w:tc>
          <w:tcPr>
            <w:tcW w:w="877" w:type="dxa"/>
          </w:tcPr>
          <w:p w14:paraId="62131B91" w14:textId="77777777" w:rsidR="003E572C" w:rsidRDefault="003E572C" w:rsidP="005903A2">
            <w:pPr>
              <w:jc w:val="center"/>
            </w:pPr>
            <w:r>
              <w:sym w:font="Wingdings" w:char="F0FC"/>
            </w:r>
          </w:p>
        </w:tc>
        <w:tc>
          <w:tcPr>
            <w:tcW w:w="4398" w:type="dxa"/>
          </w:tcPr>
          <w:p w14:paraId="5D43BEC2" w14:textId="523E680A" w:rsidR="003E572C" w:rsidRDefault="003E572C" w:rsidP="005903A2">
            <w:pPr>
              <w:jc w:val="center"/>
            </w:pPr>
            <w:r>
              <w:sym w:font="Wingdings" w:char="F0FC"/>
            </w:r>
          </w:p>
        </w:tc>
      </w:tr>
      <w:tr w:rsidR="003E572C" w14:paraId="72A37E38" w14:textId="04CEAE19" w:rsidTr="003E572C">
        <w:tc>
          <w:tcPr>
            <w:tcW w:w="1253" w:type="dxa"/>
          </w:tcPr>
          <w:p w14:paraId="5AB703B1" w14:textId="6F3EFC57" w:rsidR="003E572C" w:rsidRDefault="003E572C" w:rsidP="005903A2">
            <w:r>
              <w:t>NEW</w:t>
            </w:r>
          </w:p>
          <w:p w14:paraId="3A158095" w14:textId="77777777" w:rsidR="003E572C" w:rsidRDefault="003E572C" w:rsidP="005903A2">
            <w:r>
              <w:t>6.1</w:t>
            </w:r>
          </w:p>
        </w:tc>
        <w:tc>
          <w:tcPr>
            <w:tcW w:w="4562" w:type="dxa"/>
          </w:tcPr>
          <w:p w14:paraId="65F2A174" w14:textId="77777777" w:rsidR="003E572C" w:rsidRDefault="003E572C" w:rsidP="005903A2">
            <w:r>
              <w:t>Discussion and Approval of Internal Audit Mandate (included in the Charter)</w:t>
            </w:r>
          </w:p>
        </w:tc>
        <w:tc>
          <w:tcPr>
            <w:tcW w:w="945" w:type="dxa"/>
          </w:tcPr>
          <w:p w14:paraId="2828CA5D" w14:textId="77777777" w:rsidR="003E572C" w:rsidRDefault="003E572C" w:rsidP="005903A2">
            <w:pPr>
              <w:jc w:val="center"/>
            </w:pPr>
          </w:p>
        </w:tc>
        <w:tc>
          <w:tcPr>
            <w:tcW w:w="1679" w:type="dxa"/>
          </w:tcPr>
          <w:p w14:paraId="3FE828DA" w14:textId="77777777" w:rsidR="003E572C" w:rsidRDefault="003E572C" w:rsidP="005903A2">
            <w:pPr>
              <w:jc w:val="center"/>
            </w:pPr>
            <w:r>
              <w:sym w:font="Wingdings" w:char="F0FC"/>
            </w:r>
          </w:p>
        </w:tc>
        <w:tc>
          <w:tcPr>
            <w:tcW w:w="1679" w:type="dxa"/>
          </w:tcPr>
          <w:p w14:paraId="48740F95" w14:textId="77777777" w:rsidR="003E572C" w:rsidRDefault="003E572C" w:rsidP="005903A2">
            <w:pPr>
              <w:jc w:val="center"/>
            </w:pPr>
          </w:p>
        </w:tc>
        <w:tc>
          <w:tcPr>
            <w:tcW w:w="877" w:type="dxa"/>
          </w:tcPr>
          <w:p w14:paraId="27869F8C" w14:textId="77777777" w:rsidR="003E572C" w:rsidRDefault="003E572C" w:rsidP="005903A2">
            <w:pPr>
              <w:jc w:val="center"/>
            </w:pPr>
            <w:r>
              <w:sym w:font="Wingdings" w:char="F0FC"/>
            </w:r>
          </w:p>
        </w:tc>
        <w:tc>
          <w:tcPr>
            <w:tcW w:w="4398" w:type="dxa"/>
          </w:tcPr>
          <w:p w14:paraId="07F9BA52" w14:textId="2DA916DF" w:rsidR="003E572C" w:rsidRDefault="00736408" w:rsidP="005903A2">
            <w:pPr>
              <w:jc w:val="center"/>
            </w:pPr>
            <w:r>
              <w:t>Prior input and discussion</w:t>
            </w:r>
            <w:r w:rsidR="006A2B2B">
              <w:t xml:space="preserve"> at the meeting</w:t>
            </w:r>
            <w:r>
              <w:t>.</w:t>
            </w:r>
          </w:p>
        </w:tc>
      </w:tr>
      <w:tr w:rsidR="003E572C" w14:paraId="0FED21F1" w14:textId="39407E73" w:rsidTr="003E572C">
        <w:tc>
          <w:tcPr>
            <w:tcW w:w="1253" w:type="dxa"/>
          </w:tcPr>
          <w:p w14:paraId="052E2BAD" w14:textId="77777777" w:rsidR="003E572C" w:rsidRDefault="003E572C" w:rsidP="005903A2">
            <w:r>
              <w:t>6.1 &amp; 6.2</w:t>
            </w:r>
          </w:p>
        </w:tc>
        <w:tc>
          <w:tcPr>
            <w:tcW w:w="4562" w:type="dxa"/>
          </w:tcPr>
          <w:p w14:paraId="574E2CBD" w14:textId="77777777" w:rsidR="003E572C" w:rsidRDefault="003E572C" w:rsidP="005903A2">
            <w:r>
              <w:t>Discussion and Approval of the Internal Audit Charter</w:t>
            </w:r>
          </w:p>
        </w:tc>
        <w:tc>
          <w:tcPr>
            <w:tcW w:w="945" w:type="dxa"/>
          </w:tcPr>
          <w:p w14:paraId="6D1744E5" w14:textId="77777777" w:rsidR="003E572C" w:rsidRDefault="003E572C" w:rsidP="005903A2">
            <w:pPr>
              <w:jc w:val="center"/>
            </w:pPr>
          </w:p>
        </w:tc>
        <w:tc>
          <w:tcPr>
            <w:tcW w:w="1679" w:type="dxa"/>
          </w:tcPr>
          <w:p w14:paraId="30BAF729" w14:textId="77777777" w:rsidR="003E572C" w:rsidRDefault="003E572C" w:rsidP="005903A2">
            <w:pPr>
              <w:jc w:val="center"/>
            </w:pPr>
            <w:r>
              <w:sym w:font="Wingdings" w:char="F0FC"/>
            </w:r>
          </w:p>
        </w:tc>
        <w:tc>
          <w:tcPr>
            <w:tcW w:w="1679" w:type="dxa"/>
          </w:tcPr>
          <w:p w14:paraId="0FA89E03" w14:textId="77777777" w:rsidR="003E572C" w:rsidRDefault="003E572C" w:rsidP="005903A2">
            <w:pPr>
              <w:jc w:val="center"/>
            </w:pPr>
          </w:p>
        </w:tc>
        <w:tc>
          <w:tcPr>
            <w:tcW w:w="877" w:type="dxa"/>
          </w:tcPr>
          <w:p w14:paraId="52C2A2D2" w14:textId="77777777" w:rsidR="003E572C" w:rsidRDefault="003E572C" w:rsidP="005903A2">
            <w:pPr>
              <w:jc w:val="center"/>
            </w:pPr>
            <w:r>
              <w:sym w:font="Wingdings" w:char="F0FC"/>
            </w:r>
          </w:p>
        </w:tc>
        <w:tc>
          <w:tcPr>
            <w:tcW w:w="4398" w:type="dxa"/>
          </w:tcPr>
          <w:p w14:paraId="7A3FD6E5" w14:textId="7801AC17" w:rsidR="003E572C" w:rsidRDefault="00736408" w:rsidP="005903A2">
            <w:pPr>
              <w:jc w:val="center"/>
            </w:pPr>
            <w:r>
              <w:t>Prior input and discussion</w:t>
            </w:r>
            <w:r w:rsidR="006A2B2B">
              <w:t xml:space="preserve"> at the meeting</w:t>
            </w:r>
            <w:r>
              <w:t>.</w:t>
            </w:r>
          </w:p>
        </w:tc>
      </w:tr>
      <w:tr w:rsidR="003E572C" w14:paraId="522F1D92" w14:textId="387518DC" w:rsidTr="003E572C">
        <w:tc>
          <w:tcPr>
            <w:tcW w:w="1253" w:type="dxa"/>
          </w:tcPr>
          <w:p w14:paraId="173BD140" w14:textId="5E693F64" w:rsidR="003E572C" w:rsidRDefault="003E572C" w:rsidP="005903A2">
            <w:r>
              <w:t>6.3</w:t>
            </w:r>
          </w:p>
        </w:tc>
        <w:tc>
          <w:tcPr>
            <w:tcW w:w="4562" w:type="dxa"/>
          </w:tcPr>
          <w:p w14:paraId="6CD74EA7" w14:textId="01DEFDB6" w:rsidR="003E572C" w:rsidRDefault="003E572C" w:rsidP="005903A2">
            <w:r>
              <w:t>Discuss and review the Audit Committee’s effectiveness in championing and supporting the internal audit function to achieve its purpose.</w:t>
            </w:r>
            <w:r w:rsidRPr="003C11BA">
              <w:rPr>
                <w:vertAlign w:val="superscript"/>
              </w:rPr>
              <w:t xml:space="preserve"> 3</w:t>
            </w:r>
          </w:p>
        </w:tc>
        <w:tc>
          <w:tcPr>
            <w:tcW w:w="945" w:type="dxa"/>
          </w:tcPr>
          <w:p w14:paraId="1AF144AC" w14:textId="41F302C1" w:rsidR="003E572C" w:rsidRDefault="003E572C" w:rsidP="005903A2">
            <w:pPr>
              <w:jc w:val="center"/>
            </w:pPr>
            <w:r>
              <w:sym w:font="Wingdings" w:char="F0FC"/>
            </w:r>
          </w:p>
        </w:tc>
        <w:tc>
          <w:tcPr>
            <w:tcW w:w="1679" w:type="dxa"/>
          </w:tcPr>
          <w:p w14:paraId="34E43275" w14:textId="71F793EE" w:rsidR="003E572C" w:rsidRDefault="003E572C" w:rsidP="005903A2">
            <w:pPr>
              <w:jc w:val="center"/>
            </w:pPr>
          </w:p>
        </w:tc>
        <w:tc>
          <w:tcPr>
            <w:tcW w:w="1679" w:type="dxa"/>
          </w:tcPr>
          <w:p w14:paraId="31708048" w14:textId="77777777" w:rsidR="003E572C" w:rsidRDefault="003E572C" w:rsidP="005903A2">
            <w:pPr>
              <w:jc w:val="center"/>
            </w:pPr>
          </w:p>
        </w:tc>
        <w:tc>
          <w:tcPr>
            <w:tcW w:w="877" w:type="dxa"/>
          </w:tcPr>
          <w:p w14:paraId="43F61276" w14:textId="77777777" w:rsidR="003E572C" w:rsidRDefault="003E572C" w:rsidP="005903A2">
            <w:pPr>
              <w:jc w:val="center"/>
            </w:pPr>
          </w:p>
        </w:tc>
        <w:tc>
          <w:tcPr>
            <w:tcW w:w="4398" w:type="dxa"/>
          </w:tcPr>
          <w:p w14:paraId="7F477633" w14:textId="013EE023" w:rsidR="003E572C" w:rsidRDefault="00D74A59" w:rsidP="005903A2">
            <w:pPr>
              <w:jc w:val="center"/>
            </w:pPr>
            <w:r>
              <w:t>Not applicable.</w:t>
            </w:r>
          </w:p>
        </w:tc>
      </w:tr>
      <w:tr w:rsidR="003E572C" w14:paraId="63C2059F" w14:textId="09215F70" w:rsidTr="003E572C">
        <w:tc>
          <w:tcPr>
            <w:tcW w:w="1253" w:type="dxa"/>
          </w:tcPr>
          <w:p w14:paraId="748E48AC" w14:textId="77777777" w:rsidR="003E572C" w:rsidRDefault="003E572C" w:rsidP="005903A2">
            <w:r>
              <w:t>7.1 &amp; 7.2</w:t>
            </w:r>
          </w:p>
        </w:tc>
        <w:tc>
          <w:tcPr>
            <w:tcW w:w="4562" w:type="dxa"/>
          </w:tcPr>
          <w:p w14:paraId="1186D823" w14:textId="43740D60" w:rsidR="003E572C" w:rsidRDefault="003E572C" w:rsidP="005903A2">
            <w:r>
              <w:t>Discussion of the Chief Audit Executive’s qualifications, position, reporting lines and performance.</w:t>
            </w:r>
            <w:r w:rsidRPr="003C11BA">
              <w:rPr>
                <w:vertAlign w:val="superscript"/>
              </w:rPr>
              <w:t xml:space="preserve"> 3</w:t>
            </w:r>
          </w:p>
        </w:tc>
        <w:tc>
          <w:tcPr>
            <w:tcW w:w="945" w:type="dxa"/>
          </w:tcPr>
          <w:p w14:paraId="7D1E6EAF" w14:textId="26FE5FCF" w:rsidR="003E572C" w:rsidRDefault="003E572C" w:rsidP="005903A2">
            <w:pPr>
              <w:jc w:val="center"/>
            </w:pPr>
            <w:r>
              <w:sym w:font="Wingdings" w:char="F0FC"/>
            </w:r>
          </w:p>
        </w:tc>
        <w:tc>
          <w:tcPr>
            <w:tcW w:w="1679" w:type="dxa"/>
          </w:tcPr>
          <w:p w14:paraId="138923B7" w14:textId="15ACF34C" w:rsidR="003E572C" w:rsidRDefault="003E572C" w:rsidP="005903A2">
            <w:pPr>
              <w:jc w:val="center"/>
            </w:pPr>
          </w:p>
        </w:tc>
        <w:tc>
          <w:tcPr>
            <w:tcW w:w="1679" w:type="dxa"/>
          </w:tcPr>
          <w:p w14:paraId="0F2BEBF0" w14:textId="77777777" w:rsidR="003E572C" w:rsidRDefault="003E572C" w:rsidP="005903A2">
            <w:pPr>
              <w:jc w:val="center"/>
            </w:pPr>
          </w:p>
        </w:tc>
        <w:tc>
          <w:tcPr>
            <w:tcW w:w="877" w:type="dxa"/>
          </w:tcPr>
          <w:p w14:paraId="23072277" w14:textId="77777777" w:rsidR="003E572C" w:rsidRDefault="003E572C" w:rsidP="005903A2">
            <w:pPr>
              <w:jc w:val="center"/>
            </w:pPr>
            <w:r>
              <w:sym w:font="Wingdings" w:char="F0FC"/>
            </w:r>
          </w:p>
        </w:tc>
        <w:tc>
          <w:tcPr>
            <w:tcW w:w="4398" w:type="dxa"/>
          </w:tcPr>
          <w:p w14:paraId="38EF5028" w14:textId="77777777" w:rsidR="003E572C" w:rsidRDefault="00E178F5" w:rsidP="005903A2">
            <w:pPr>
              <w:jc w:val="center"/>
            </w:pPr>
            <w:r>
              <w:t>Responsible for the performance appraisal and using HR processes to recruit the CAE.</w:t>
            </w:r>
          </w:p>
          <w:p w14:paraId="6056F259" w14:textId="1F081438" w:rsidR="00E178F5" w:rsidRDefault="00E178F5" w:rsidP="005903A2">
            <w:pPr>
              <w:jc w:val="center"/>
            </w:pPr>
            <w:r>
              <w:t xml:space="preserve">Responsible for ensuring reporting lines are in place and CAE is at a suitably senior level in the organisation. </w:t>
            </w:r>
          </w:p>
        </w:tc>
      </w:tr>
      <w:tr w:rsidR="003E572C" w14:paraId="57D6677E" w14:textId="42DD74C0" w:rsidTr="003E572C">
        <w:tc>
          <w:tcPr>
            <w:tcW w:w="1253" w:type="dxa"/>
          </w:tcPr>
          <w:p w14:paraId="255E8F29" w14:textId="77777777" w:rsidR="003E572C" w:rsidRDefault="003E572C" w:rsidP="005903A2">
            <w:r>
              <w:t>7.1</w:t>
            </w:r>
          </w:p>
        </w:tc>
        <w:tc>
          <w:tcPr>
            <w:tcW w:w="4562" w:type="dxa"/>
          </w:tcPr>
          <w:p w14:paraId="37A6EF09" w14:textId="77777777" w:rsidR="003E572C" w:rsidRDefault="003E572C" w:rsidP="005903A2">
            <w:r>
              <w:t>Private discussion with Chief Audit Executive</w:t>
            </w:r>
          </w:p>
        </w:tc>
        <w:tc>
          <w:tcPr>
            <w:tcW w:w="945" w:type="dxa"/>
          </w:tcPr>
          <w:p w14:paraId="1A2D0FA1" w14:textId="77777777" w:rsidR="003E572C" w:rsidRDefault="003E572C" w:rsidP="005903A2">
            <w:pPr>
              <w:jc w:val="center"/>
            </w:pPr>
          </w:p>
        </w:tc>
        <w:tc>
          <w:tcPr>
            <w:tcW w:w="1679" w:type="dxa"/>
          </w:tcPr>
          <w:p w14:paraId="4DBD416B" w14:textId="77777777" w:rsidR="003E572C" w:rsidRDefault="003E572C" w:rsidP="005903A2">
            <w:pPr>
              <w:jc w:val="center"/>
            </w:pPr>
          </w:p>
        </w:tc>
        <w:tc>
          <w:tcPr>
            <w:tcW w:w="1679" w:type="dxa"/>
          </w:tcPr>
          <w:p w14:paraId="70838CF8" w14:textId="77777777" w:rsidR="003E572C" w:rsidRDefault="003E572C" w:rsidP="005903A2">
            <w:pPr>
              <w:jc w:val="center"/>
            </w:pPr>
            <w:r>
              <w:sym w:font="Wingdings" w:char="F0FC"/>
            </w:r>
          </w:p>
        </w:tc>
        <w:tc>
          <w:tcPr>
            <w:tcW w:w="877" w:type="dxa"/>
          </w:tcPr>
          <w:p w14:paraId="01C403E7" w14:textId="77777777" w:rsidR="003E572C" w:rsidRDefault="003E572C" w:rsidP="005903A2">
            <w:pPr>
              <w:jc w:val="center"/>
            </w:pPr>
          </w:p>
        </w:tc>
        <w:tc>
          <w:tcPr>
            <w:tcW w:w="4398" w:type="dxa"/>
          </w:tcPr>
          <w:p w14:paraId="44D4C0E4" w14:textId="6F3FAD9E" w:rsidR="003E572C" w:rsidRDefault="00E178F5" w:rsidP="005903A2">
            <w:pPr>
              <w:jc w:val="center"/>
            </w:pPr>
            <w:r>
              <w:t xml:space="preserve">Not applicable. </w:t>
            </w:r>
          </w:p>
        </w:tc>
      </w:tr>
      <w:tr w:rsidR="003E572C" w14:paraId="0F9C4DCB" w14:textId="39DCBE40" w:rsidTr="003E572C">
        <w:tc>
          <w:tcPr>
            <w:tcW w:w="1253" w:type="dxa"/>
          </w:tcPr>
          <w:p w14:paraId="574D3DEB" w14:textId="77777777" w:rsidR="003E572C" w:rsidRDefault="003E572C" w:rsidP="005903A2">
            <w:r>
              <w:t>8.1, 8.2, 9.1, 9.4</w:t>
            </w:r>
          </w:p>
          <w:p w14:paraId="494D357D" w14:textId="77777777" w:rsidR="003E572C" w:rsidRDefault="003E572C" w:rsidP="005903A2">
            <w:r>
              <w:t>10.1, 10.2, 10.3</w:t>
            </w:r>
          </w:p>
        </w:tc>
        <w:tc>
          <w:tcPr>
            <w:tcW w:w="4562" w:type="dxa"/>
          </w:tcPr>
          <w:p w14:paraId="3209E370" w14:textId="77777777" w:rsidR="003E572C" w:rsidRDefault="003E572C" w:rsidP="005903A2">
            <w:r>
              <w:t>Discussion of the priorities and approval of the Internal Audit Plan (including resourcing)</w:t>
            </w:r>
          </w:p>
        </w:tc>
        <w:tc>
          <w:tcPr>
            <w:tcW w:w="945" w:type="dxa"/>
          </w:tcPr>
          <w:p w14:paraId="40671029" w14:textId="77777777" w:rsidR="003E572C" w:rsidRDefault="003E572C" w:rsidP="005903A2">
            <w:pPr>
              <w:jc w:val="center"/>
            </w:pPr>
          </w:p>
        </w:tc>
        <w:tc>
          <w:tcPr>
            <w:tcW w:w="1679" w:type="dxa"/>
          </w:tcPr>
          <w:p w14:paraId="4CE3D1E1" w14:textId="77777777" w:rsidR="003E572C" w:rsidRDefault="003E572C" w:rsidP="005903A2">
            <w:pPr>
              <w:jc w:val="center"/>
            </w:pPr>
            <w:r>
              <w:sym w:font="Wingdings" w:char="F0FC"/>
            </w:r>
          </w:p>
        </w:tc>
        <w:tc>
          <w:tcPr>
            <w:tcW w:w="1679" w:type="dxa"/>
          </w:tcPr>
          <w:p w14:paraId="5AF78E89" w14:textId="77777777" w:rsidR="003E572C" w:rsidRDefault="003E572C" w:rsidP="005903A2">
            <w:pPr>
              <w:jc w:val="center"/>
            </w:pPr>
          </w:p>
        </w:tc>
        <w:tc>
          <w:tcPr>
            <w:tcW w:w="877" w:type="dxa"/>
          </w:tcPr>
          <w:p w14:paraId="662409E4" w14:textId="77777777" w:rsidR="003E572C" w:rsidRDefault="003E572C" w:rsidP="005903A2">
            <w:pPr>
              <w:jc w:val="center"/>
            </w:pPr>
          </w:p>
        </w:tc>
        <w:tc>
          <w:tcPr>
            <w:tcW w:w="4398" w:type="dxa"/>
          </w:tcPr>
          <w:p w14:paraId="647B74B0" w14:textId="1B76B9D3" w:rsidR="003E572C" w:rsidRDefault="00736408" w:rsidP="005903A2">
            <w:pPr>
              <w:jc w:val="center"/>
            </w:pPr>
            <w:r>
              <w:t>Prior i</w:t>
            </w:r>
            <w:r w:rsidR="00F9781E">
              <w:t>nput and discussion</w:t>
            </w:r>
            <w:r w:rsidR="006A2B2B">
              <w:t xml:space="preserve"> at the meeting</w:t>
            </w:r>
            <w:r>
              <w:t>.</w:t>
            </w:r>
          </w:p>
        </w:tc>
      </w:tr>
      <w:tr w:rsidR="003E572C" w14:paraId="38A87468" w14:textId="140B80A4" w:rsidTr="003E572C">
        <w:tc>
          <w:tcPr>
            <w:tcW w:w="1253" w:type="dxa"/>
          </w:tcPr>
          <w:p w14:paraId="7A610FAD" w14:textId="77777777" w:rsidR="003E572C" w:rsidRDefault="003E572C" w:rsidP="005903A2">
            <w:r>
              <w:t>8.1</w:t>
            </w:r>
          </w:p>
        </w:tc>
        <w:tc>
          <w:tcPr>
            <w:tcW w:w="4562" w:type="dxa"/>
          </w:tcPr>
          <w:p w14:paraId="78A3631E" w14:textId="1CA69B88" w:rsidR="003E572C" w:rsidRDefault="003E572C" w:rsidP="005903A2">
            <w:r>
              <w:t>Discuss and approve the communication framework between the Chief Audit Executive and Audit Committee.</w:t>
            </w:r>
            <w:r w:rsidRPr="003C11BA">
              <w:rPr>
                <w:vertAlign w:val="superscript"/>
              </w:rPr>
              <w:t xml:space="preserve"> 3</w:t>
            </w:r>
          </w:p>
        </w:tc>
        <w:tc>
          <w:tcPr>
            <w:tcW w:w="945" w:type="dxa"/>
          </w:tcPr>
          <w:p w14:paraId="2F1E7F18" w14:textId="4A423222" w:rsidR="003E572C" w:rsidRDefault="003E572C" w:rsidP="005903A2">
            <w:pPr>
              <w:jc w:val="center"/>
            </w:pPr>
            <w:r>
              <w:sym w:font="Wingdings" w:char="F0FC"/>
            </w:r>
          </w:p>
        </w:tc>
        <w:tc>
          <w:tcPr>
            <w:tcW w:w="1679" w:type="dxa"/>
          </w:tcPr>
          <w:p w14:paraId="3FFE85AC" w14:textId="76482F0E" w:rsidR="003E572C" w:rsidRDefault="003E572C" w:rsidP="005903A2">
            <w:pPr>
              <w:jc w:val="center"/>
            </w:pPr>
          </w:p>
        </w:tc>
        <w:tc>
          <w:tcPr>
            <w:tcW w:w="1679" w:type="dxa"/>
          </w:tcPr>
          <w:p w14:paraId="225AFC0A" w14:textId="77777777" w:rsidR="003E572C" w:rsidRDefault="003E572C" w:rsidP="005903A2">
            <w:pPr>
              <w:jc w:val="center"/>
            </w:pPr>
          </w:p>
        </w:tc>
        <w:tc>
          <w:tcPr>
            <w:tcW w:w="877" w:type="dxa"/>
          </w:tcPr>
          <w:p w14:paraId="1783DC55" w14:textId="77777777" w:rsidR="003E572C" w:rsidRDefault="003E572C" w:rsidP="005903A2">
            <w:pPr>
              <w:jc w:val="center"/>
            </w:pPr>
          </w:p>
        </w:tc>
        <w:tc>
          <w:tcPr>
            <w:tcW w:w="4398" w:type="dxa"/>
          </w:tcPr>
          <w:p w14:paraId="1852BD8A" w14:textId="61E1E0C4" w:rsidR="003E572C" w:rsidRDefault="00F9781E" w:rsidP="005903A2">
            <w:pPr>
              <w:jc w:val="center"/>
            </w:pPr>
            <w:r>
              <w:t xml:space="preserve">Not applicable. </w:t>
            </w:r>
          </w:p>
        </w:tc>
      </w:tr>
      <w:tr w:rsidR="003E572C" w14:paraId="5367AA30" w14:textId="10FC4520" w:rsidTr="003E572C">
        <w:tc>
          <w:tcPr>
            <w:tcW w:w="1253" w:type="dxa"/>
          </w:tcPr>
          <w:p w14:paraId="31869738" w14:textId="77777777" w:rsidR="003E572C" w:rsidRDefault="003E572C" w:rsidP="005903A2">
            <w:r>
              <w:t>8.1 &amp; 8.2</w:t>
            </w:r>
          </w:p>
        </w:tc>
        <w:tc>
          <w:tcPr>
            <w:tcW w:w="4562" w:type="dxa"/>
          </w:tcPr>
          <w:p w14:paraId="1364063B" w14:textId="77777777" w:rsidR="003E572C" w:rsidRDefault="003E572C" w:rsidP="005903A2">
            <w:r>
              <w:t>Receive and discuss Chief Audit Executive Reports (regular and annual) and agree any actions as appropriate.</w:t>
            </w:r>
          </w:p>
        </w:tc>
        <w:tc>
          <w:tcPr>
            <w:tcW w:w="945" w:type="dxa"/>
          </w:tcPr>
          <w:p w14:paraId="7F4FB276" w14:textId="77777777" w:rsidR="003E572C" w:rsidRDefault="003E572C" w:rsidP="005903A2">
            <w:pPr>
              <w:jc w:val="center"/>
            </w:pPr>
          </w:p>
        </w:tc>
        <w:tc>
          <w:tcPr>
            <w:tcW w:w="1679" w:type="dxa"/>
          </w:tcPr>
          <w:p w14:paraId="297D9FDD" w14:textId="77777777" w:rsidR="003E572C" w:rsidRDefault="003E572C" w:rsidP="00821D16">
            <w:pPr>
              <w:jc w:val="center"/>
            </w:pPr>
            <w:r>
              <w:sym w:font="Wingdings" w:char="F0FC"/>
            </w:r>
          </w:p>
          <w:p w14:paraId="2F7E5F71" w14:textId="676C61AF" w:rsidR="003E572C" w:rsidRDefault="003E572C" w:rsidP="00821D16">
            <w:pPr>
              <w:jc w:val="center"/>
            </w:pPr>
            <w:r>
              <w:t>(highly recommended)</w:t>
            </w:r>
          </w:p>
        </w:tc>
        <w:tc>
          <w:tcPr>
            <w:tcW w:w="1679" w:type="dxa"/>
          </w:tcPr>
          <w:p w14:paraId="6D7D28EE" w14:textId="77777777" w:rsidR="003E572C" w:rsidRDefault="003E572C" w:rsidP="005903A2">
            <w:pPr>
              <w:jc w:val="center"/>
            </w:pPr>
            <w:r>
              <w:sym w:font="Wingdings" w:char="F0FC"/>
            </w:r>
          </w:p>
          <w:p w14:paraId="1E202E38" w14:textId="43EC5EBA" w:rsidR="003E572C" w:rsidRDefault="003E572C" w:rsidP="005903A2">
            <w:pPr>
              <w:jc w:val="center"/>
            </w:pPr>
            <w:r>
              <w:t>(highly recommended)</w:t>
            </w:r>
          </w:p>
        </w:tc>
        <w:tc>
          <w:tcPr>
            <w:tcW w:w="877" w:type="dxa"/>
          </w:tcPr>
          <w:p w14:paraId="5399EEB6" w14:textId="77777777" w:rsidR="003E572C" w:rsidRDefault="003E572C" w:rsidP="005903A2">
            <w:pPr>
              <w:jc w:val="center"/>
            </w:pPr>
          </w:p>
        </w:tc>
        <w:tc>
          <w:tcPr>
            <w:tcW w:w="4398" w:type="dxa"/>
          </w:tcPr>
          <w:p w14:paraId="38F49B44" w14:textId="61CD972E" w:rsidR="003E572C" w:rsidRDefault="00736408" w:rsidP="005903A2">
            <w:pPr>
              <w:jc w:val="center"/>
            </w:pPr>
            <w:r>
              <w:t xml:space="preserve">Prior input only. </w:t>
            </w:r>
          </w:p>
        </w:tc>
      </w:tr>
      <w:tr w:rsidR="003E572C" w14:paraId="7904E0A1" w14:textId="6C610A51" w:rsidTr="003E572C">
        <w:tc>
          <w:tcPr>
            <w:tcW w:w="1253" w:type="dxa"/>
          </w:tcPr>
          <w:p w14:paraId="4AF8C6C2" w14:textId="77777777" w:rsidR="003E572C" w:rsidRDefault="003E572C" w:rsidP="005903A2">
            <w:r>
              <w:t>11.3, 11.4 &amp; 11.5</w:t>
            </w:r>
          </w:p>
        </w:tc>
        <w:tc>
          <w:tcPr>
            <w:tcW w:w="4562" w:type="dxa"/>
          </w:tcPr>
          <w:p w14:paraId="44EDD9B7" w14:textId="77777777" w:rsidR="003E572C" w:rsidRDefault="003E572C" w:rsidP="005903A2">
            <w:r>
              <w:t>Receive and discuss internal audit engagement results, including acceptance of risks.</w:t>
            </w:r>
          </w:p>
        </w:tc>
        <w:tc>
          <w:tcPr>
            <w:tcW w:w="945" w:type="dxa"/>
          </w:tcPr>
          <w:p w14:paraId="73C62821" w14:textId="77777777" w:rsidR="003E572C" w:rsidRDefault="003E572C" w:rsidP="005903A2">
            <w:pPr>
              <w:jc w:val="center"/>
            </w:pPr>
          </w:p>
        </w:tc>
        <w:tc>
          <w:tcPr>
            <w:tcW w:w="1679" w:type="dxa"/>
          </w:tcPr>
          <w:p w14:paraId="13FE7459" w14:textId="77777777" w:rsidR="003E572C" w:rsidRDefault="003E572C" w:rsidP="005903A2">
            <w:pPr>
              <w:jc w:val="center"/>
            </w:pPr>
          </w:p>
        </w:tc>
        <w:tc>
          <w:tcPr>
            <w:tcW w:w="1679" w:type="dxa"/>
          </w:tcPr>
          <w:p w14:paraId="23C245A3" w14:textId="77777777" w:rsidR="003E572C" w:rsidRDefault="003E572C" w:rsidP="005903A2">
            <w:pPr>
              <w:jc w:val="center"/>
            </w:pPr>
            <w:r>
              <w:sym w:font="Wingdings" w:char="F0FC"/>
            </w:r>
          </w:p>
        </w:tc>
        <w:tc>
          <w:tcPr>
            <w:tcW w:w="877" w:type="dxa"/>
          </w:tcPr>
          <w:p w14:paraId="6EF646BE" w14:textId="77777777" w:rsidR="003E572C" w:rsidRDefault="003E572C" w:rsidP="005903A2">
            <w:pPr>
              <w:jc w:val="center"/>
            </w:pPr>
          </w:p>
        </w:tc>
        <w:tc>
          <w:tcPr>
            <w:tcW w:w="4398" w:type="dxa"/>
          </w:tcPr>
          <w:p w14:paraId="61D5C3E7" w14:textId="333DE5DB" w:rsidR="003E572C" w:rsidRDefault="00736408" w:rsidP="005903A2">
            <w:pPr>
              <w:jc w:val="center"/>
            </w:pPr>
            <w:r>
              <w:t>Prior input and discussion</w:t>
            </w:r>
            <w:r w:rsidR="006A2B2B">
              <w:t xml:space="preserve"> at the meeting</w:t>
            </w:r>
            <w:r>
              <w:t>.</w:t>
            </w:r>
          </w:p>
        </w:tc>
      </w:tr>
      <w:tr w:rsidR="003E572C" w14:paraId="27C99CFE" w14:textId="6597AB14" w:rsidTr="003E572C">
        <w:tc>
          <w:tcPr>
            <w:tcW w:w="1253" w:type="dxa"/>
          </w:tcPr>
          <w:p w14:paraId="4B2A7933" w14:textId="77777777" w:rsidR="003E572C" w:rsidRDefault="003E572C" w:rsidP="005903A2">
            <w:r>
              <w:t>8.3</w:t>
            </w:r>
          </w:p>
        </w:tc>
        <w:tc>
          <w:tcPr>
            <w:tcW w:w="4562" w:type="dxa"/>
          </w:tcPr>
          <w:p w14:paraId="377864FB" w14:textId="55D0D91E" w:rsidR="003E572C" w:rsidRDefault="003E572C" w:rsidP="005903A2">
            <w:r>
              <w:t>Discussion and Approval of Quality Assurance and Improvement Programme.</w:t>
            </w:r>
            <w:r w:rsidRPr="003C11BA">
              <w:rPr>
                <w:vertAlign w:val="superscript"/>
              </w:rPr>
              <w:t xml:space="preserve"> 3</w:t>
            </w:r>
          </w:p>
        </w:tc>
        <w:tc>
          <w:tcPr>
            <w:tcW w:w="945" w:type="dxa"/>
          </w:tcPr>
          <w:p w14:paraId="20C6C7A7" w14:textId="01AD38F0" w:rsidR="003E572C" w:rsidRDefault="003E572C" w:rsidP="005903A2">
            <w:pPr>
              <w:jc w:val="center"/>
            </w:pPr>
            <w:r>
              <w:sym w:font="Wingdings" w:char="F0FC"/>
            </w:r>
          </w:p>
        </w:tc>
        <w:tc>
          <w:tcPr>
            <w:tcW w:w="1679" w:type="dxa"/>
          </w:tcPr>
          <w:p w14:paraId="04E61CAD" w14:textId="4D88518C" w:rsidR="003E572C" w:rsidRDefault="003E572C" w:rsidP="005903A2">
            <w:pPr>
              <w:jc w:val="center"/>
            </w:pPr>
          </w:p>
        </w:tc>
        <w:tc>
          <w:tcPr>
            <w:tcW w:w="1679" w:type="dxa"/>
          </w:tcPr>
          <w:p w14:paraId="0AE6C582" w14:textId="77777777" w:rsidR="003E572C" w:rsidRDefault="003E572C" w:rsidP="005903A2">
            <w:pPr>
              <w:jc w:val="center"/>
            </w:pPr>
          </w:p>
        </w:tc>
        <w:tc>
          <w:tcPr>
            <w:tcW w:w="877" w:type="dxa"/>
          </w:tcPr>
          <w:p w14:paraId="5233C998" w14:textId="77777777" w:rsidR="003E572C" w:rsidRDefault="003E572C" w:rsidP="005903A2">
            <w:pPr>
              <w:jc w:val="center"/>
            </w:pPr>
          </w:p>
        </w:tc>
        <w:tc>
          <w:tcPr>
            <w:tcW w:w="4398" w:type="dxa"/>
          </w:tcPr>
          <w:p w14:paraId="068B14A8" w14:textId="58953724" w:rsidR="003E572C" w:rsidRDefault="00736408" w:rsidP="005903A2">
            <w:pPr>
              <w:jc w:val="center"/>
            </w:pPr>
            <w:r>
              <w:t>Prior input and discussion</w:t>
            </w:r>
            <w:r w:rsidR="006A2B2B">
              <w:t xml:space="preserve"> at the meeting</w:t>
            </w:r>
            <w:r>
              <w:t>.</w:t>
            </w:r>
          </w:p>
        </w:tc>
      </w:tr>
      <w:tr w:rsidR="003E572C" w14:paraId="68318C58" w14:textId="338D8962" w:rsidTr="003E572C">
        <w:tc>
          <w:tcPr>
            <w:tcW w:w="1253" w:type="dxa"/>
          </w:tcPr>
          <w:p w14:paraId="7C988EC4" w14:textId="77777777" w:rsidR="003E572C" w:rsidRDefault="003E572C" w:rsidP="005903A2">
            <w:r>
              <w:lastRenderedPageBreak/>
              <w:t>NEW</w:t>
            </w:r>
          </w:p>
          <w:p w14:paraId="03A9F4E3" w14:textId="77777777" w:rsidR="003E572C" w:rsidRDefault="003E572C" w:rsidP="005903A2">
            <w:r>
              <w:t>8.3 &amp; 12.2</w:t>
            </w:r>
          </w:p>
        </w:tc>
        <w:tc>
          <w:tcPr>
            <w:tcW w:w="4562" w:type="dxa"/>
          </w:tcPr>
          <w:p w14:paraId="2A24495C" w14:textId="77777777" w:rsidR="003E572C" w:rsidRDefault="003E572C" w:rsidP="005903A2">
            <w:r>
              <w:t>Discuss and approve the Internal Audit’s performance objectives.</w:t>
            </w:r>
          </w:p>
        </w:tc>
        <w:tc>
          <w:tcPr>
            <w:tcW w:w="945" w:type="dxa"/>
          </w:tcPr>
          <w:p w14:paraId="4D1F1E4C" w14:textId="77777777" w:rsidR="003E572C" w:rsidRDefault="003E572C" w:rsidP="005903A2">
            <w:pPr>
              <w:jc w:val="center"/>
            </w:pPr>
          </w:p>
        </w:tc>
        <w:tc>
          <w:tcPr>
            <w:tcW w:w="1679" w:type="dxa"/>
          </w:tcPr>
          <w:p w14:paraId="3DDA1536" w14:textId="77777777" w:rsidR="003E572C" w:rsidRDefault="003E572C" w:rsidP="005903A2">
            <w:pPr>
              <w:jc w:val="center"/>
            </w:pPr>
            <w:r>
              <w:sym w:font="Wingdings" w:char="F0FC"/>
            </w:r>
          </w:p>
          <w:p w14:paraId="726C9D05" w14:textId="77777777" w:rsidR="003E572C" w:rsidRDefault="003E572C" w:rsidP="005903A2">
            <w:pPr>
              <w:jc w:val="center"/>
            </w:pPr>
            <w:r>
              <w:t>(required)</w:t>
            </w:r>
          </w:p>
        </w:tc>
        <w:tc>
          <w:tcPr>
            <w:tcW w:w="1679" w:type="dxa"/>
          </w:tcPr>
          <w:p w14:paraId="4BD0B1F1" w14:textId="77777777" w:rsidR="003E572C" w:rsidRDefault="003E572C" w:rsidP="005903A2">
            <w:pPr>
              <w:jc w:val="center"/>
            </w:pPr>
          </w:p>
        </w:tc>
        <w:tc>
          <w:tcPr>
            <w:tcW w:w="877" w:type="dxa"/>
          </w:tcPr>
          <w:p w14:paraId="20473E66" w14:textId="77777777" w:rsidR="003E572C" w:rsidRDefault="003E572C" w:rsidP="005903A2">
            <w:pPr>
              <w:jc w:val="center"/>
            </w:pPr>
            <w:r>
              <w:sym w:font="Wingdings" w:char="F0FC"/>
            </w:r>
          </w:p>
        </w:tc>
        <w:tc>
          <w:tcPr>
            <w:tcW w:w="4398" w:type="dxa"/>
          </w:tcPr>
          <w:p w14:paraId="57DC4154" w14:textId="6BE5752F" w:rsidR="003E572C" w:rsidRDefault="00736408" w:rsidP="005903A2">
            <w:pPr>
              <w:jc w:val="center"/>
            </w:pPr>
            <w:r>
              <w:t xml:space="preserve">Prior input </w:t>
            </w:r>
            <w:r w:rsidR="00340CCB">
              <w:t>only.</w:t>
            </w:r>
          </w:p>
        </w:tc>
      </w:tr>
      <w:tr w:rsidR="003E572C" w14:paraId="224D577E" w14:textId="5CBB3852" w:rsidTr="003E572C">
        <w:tc>
          <w:tcPr>
            <w:tcW w:w="1253" w:type="dxa"/>
          </w:tcPr>
          <w:p w14:paraId="4FE1FC23" w14:textId="77777777" w:rsidR="003E572C" w:rsidRDefault="003E572C" w:rsidP="005903A2">
            <w:r>
              <w:t>8.3</w:t>
            </w:r>
          </w:p>
        </w:tc>
        <w:tc>
          <w:tcPr>
            <w:tcW w:w="4562" w:type="dxa"/>
          </w:tcPr>
          <w:p w14:paraId="2B92A155" w14:textId="77777777" w:rsidR="003E572C" w:rsidRDefault="003E572C" w:rsidP="005903A2">
            <w:r>
              <w:t>Assess the effectiveness and efficiency of the internal audit function.</w:t>
            </w:r>
          </w:p>
        </w:tc>
        <w:tc>
          <w:tcPr>
            <w:tcW w:w="945" w:type="dxa"/>
          </w:tcPr>
          <w:p w14:paraId="334412D2" w14:textId="77777777" w:rsidR="003E572C" w:rsidRDefault="003E572C" w:rsidP="005903A2">
            <w:pPr>
              <w:jc w:val="center"/>
            </w:pPr>
          </w:p>
        </w:tc>
        <w:tc>
          <w:tcPr>
            <w:tcW w:w="1679" w:type="dxa"/>
          </w:tcPr>
          <w:p w14:paraId="5592CD11" w14:textId="77777777" w:rsidR="003E572C" w:rsidRDefault="003E572C" w:rsidP="005903A2">
            <w:pPr>
              <w:jc w:val="center"/>
            </w:pPr>
            <w:r>
              <w:sym w:font="Wingdings" w:char="F0FC"/>
            </w:r>
          </w:p>
        </w:tc>
        <w:tc>
          <w:tcPr>
            <w:tcW w:w="1679" w:type="dxa"/>
          </w:tcPr>
          <w:p w14:paraId="7BD1E9A7" w14:textId="77777777" w:rsidR="003E572C" w:rsidRDefault="003E572C" w:rsidP="005903A2">
            <w:pPr>
              <w:jc w:val="center"/>
            </w:pPr>
          </w:p>
        </w:tc>
        <w:tc>
          <w:tcPr>
            <w:tcW w:w="877" w:type="dxa"/>
          </w:tcPr>
          <w:p w14:paraId="3EFD9BC3" w14:textId="77777777" w:rsidR="003E572C" w:rsidRDefault="003E572C" w:rsidP="005903A2">
            <w:pPr>
              <w:jc w:val="center"/>
            </w:pPr>
            <w:r>
              <w:sym w:font="Wingdings" w:char="F0FC"/>
            </w:r>
          </w:p>
        </w:tc>
        <w:tc>
          <w:tcPr>
            <w:tcW w:w="4398" w:type="dxa"/>
          </w:tcPr>
          <w:p w14:paraId="156C9661" w14:textId="5B029CDF" w:rsidR="003E572C" w:rsidRDefault="00340CCB" w:rsidP="005903A2">
            <w:pPr>
              <w:jc w:val="center"/>
            </w:pPr>
            <w:r>
              <w:t>Prior input only.</w:t>
            </w:r>
          </w:p>
        </w:tc>
      </w:tr>
      <w:tr w:rsidR="003E572C" w14:paraId="6143EE59" w14:textId="0D004623" w:rsidTr="003E572C">
        <w:tc>
          <w:tcPr>
            <w:tcW w:w="1253" w:type="dxa"/>
          </w:tcPr>
          <w:p w14:paraId="0C223379" w14:textId="77777777" w:rsidR="003E572C" w:rsidRDefault="003E572C" w:rsidP="005903A2">
            <w:r>
              <w:t>8.4</w:t>
            </w:r>
          </w:p>
        </w:tc>
        <w:tc>
          <w:tcPr>
            <w:tcW w:w="4562" w:type="dxa"/>
          </w:tcPr>
          <w:p w14:paraId="171D735D" w14:textId="77777777" w:rsidR="003E572C" w:rsidRDefault="003E572C" w:rsidP="005903A2">
            <w:r>
              <w:t>Review and approve the plan for the external quality assessment, receive the report and action plan for review and approval.</w:t>
            </w:r>
          </w:p>
        </w:tc>
        <w:tc>
          <w:tcPr>
            <w:tcW w:w="945" w:type="dxa"/>
          </w:tcPr>
          <w:p w14:paraId="5FDF786C" w14:textId="77777777" w:rsidR="003E572C" w:rsidRDefault="003E572C" w:rsidP="005903A2">
            <w:pPr>
              <w:jc w:val="center"/>
            </w:pPr>
            <w:r>
              <w:sym w:font="Wingdings" w:char="F0FC"/>
            </w:r>
          </w:p>
          <w:p w14:paraId="1B1BA592" w14:textId="77777777" w:rsidR="003E572C" w:rsidRDefault="003E572C" w:rsidP="005903A2">
            <w:pPr>
              <w:jc w:val="center"/>
            </w:pPr>
            <w:r>
              <w:t>(max 5 years)</w:t>
            </w:r>
          </w:p>
        </w:tc>
        <w:tc>
          <w:tcPr>
            <w:tcW w:w="1679" w:type="dxa"/>
          </w:tcPr>
          <w:p w14:paraId="0EAB9FD1" w14:textId="77777777" w:rsidR="003E572C" w:rsidRDefault="003E572C" w:rsidP="005903A2">
            <w:pPr>
              <w:jc w:val="center"/>
            </w:pPr>
          </w:p>
        </w:tc>
        <w:tc>
          <w:tcPr>
            <w:tcW w:w="1679" w:type="dxa"/>
          </w:tcPr>
          <w:p w14:paraId="691EDD3B" w14:textId="77777777" w:rsidR="003E572C" w:rsidRDefault="003E572C" w:rsidP="005903A2">
            <w:pPr>
              <w:jc w:val="center"/>
            </w:pPr>
          </w:p>
        </w:tc>
        <w:tc>
          <w:tcPr>
            <w:tcW w:w="877" w:type="dxa"/>
          </w:tcPr>
          <w:p w14:paraId="601A0523" w14:textId="77777777" w:rsidR="003E572C" w:rsidRDefault="003E572C" w:rsidP="005903A2">
            <w:pPr>
              <w:jc w:val="center"/>
            </w:pPr>
          </w:p>
        </w:tc>
        <w:tc>
          <w:tcPr>
            <w:tcW w:w="4398" w:type="dxa"/>
          </w:tcPr>
          <w:p w14:paraId="5E8F71DF" w14:textId="1C54EB2E" w:rsidR="003E572C" w:rsidRDefault="00340CCB" w:rsidP="005903A2">
            <w:pPr>
              <w:jc w:val="center"/>
            </w:pPr>
            <w:r>
              <w:t xml:space="preserve">Participate in the EQA as a key stakeholder. </w:t>
            </w:r>
          </w:p>
        </w:tc>
      </w:tr>
      <w:tr w:rsidR="003E572C" w14:paraId="6267E9CA" w14:textId="50DD5469" w:rsidTr="003E572C">
        <w:tc>
          <w:tcPr>
            <w:tcW w:w="1253" w:type="dxa"/>
          </w:tcPr>
          <w:p w14:paraId="061BB5FC" w14:textId="77777777" w:rsidR="003E572C" w:rsidRDefault="003E572C" w:rsidP="005903A2">
            <w:r>
              <w:t>NEW</w:t>
            </w:r>
          </w:p>
          <w:p w14:paraId="70213C5E" w14:textId="77777777" w:rsidR="003E572C" w:rsidRDefault="003E572C" w:rsidP="005903A2">
            <w:r>
              <w:t>9.2</w:t>
            </w:r>
          </w:p>
        </w:tc>
        <w:tc>
          <w:tcPr>
            <w:tcW w:w="4562" w:type="dxa"/>
          </w:tcPr>
          <w:p w14:paraId="4615C85A" w14:textId="4118FF37" w:rsidR="003E572C" w:rsidRDefault="003E572C" w:rsidP="005903A2">
            <w:r>
              <w:t>Discussion and Approval of Internal Audit Strategy.</w:t>
            </w:r>
            <w:r w:rsidRPr="003C11BA">
              <w:rPr>
                <w:vertAlign w:val="superscript"/>
              </w:rPr>
              <w:t xml:space="preserve"> 3</w:t>
            </w:r>
          </w:p>
        </w:tc>
        <w:tc>
          <w:tcPr>
            <w:tcW w:w="945" w:type="dxa"/>
          </w:tcPr>
          <w:p w14:paraId="4CB3F53E" w14:textId="77777777" w:rsidR="003E572C" w:rsidRDefault="003E572C" w:rsidP="005903A2">
            <w:pPr>
              <w:jc w:val="center"/>
            </w:pPr>
            <w:r>
              <w:sym w:font="Wingdings" w:char="F0FC"/>
            </w:r>
          </w:p>
        </w:tc>
        <w:tc>
          <w:tcPr>
            <w:tcW w:w="1679" w:type="dxa"/>
          </w:tcPr>
          <w:p w14:paraId="2ED42F7B" w14:textId="77777777" w:rsidR="003E572C" w:rsidRDefault="003E572C" w:rsidP="005903A2">
            <w:pPr>
              <w:jc w:val="center"/>
            </w:pPr>
          </w:p>
        </w:tc>
        <w:tc>
          <w:tcPr>
            <w:tcW w:w="1679" w:type="dxa"/>
          </w:tcPr>
          <w:p w14:paraId="1D2E4100" w14:textId="77777777" w:rsidR="003E572C" w:rsidRDefault="003E572C" w:rsidP="005903A2">
            <w:pPr>
              <w:jc w:val="center"/>
            </w:pPr>
          </w:p>
        </w:tc>
        <w:tc>
          <w:tcPr>
            <w:tcW w:w="877" w:type="dxa"/>
          </w:tcPr>
          <w:p w14:paraId="12806323" w14:textId="77777777" w:rsidR="003E572C" w:rsidRDefault="003E572C" w:rsidP="005903A2">
            <w:pPr>
              <w:jc w:val="center"/>
            </w:pPr>
          </w:p>
        </w:tc>
        <w:tc>
          <w:tcPr>
            <w:tcW w:w="4398" w:type="dxa"/>
          </w:tcPr>
          <w:p w14:paraId="55FC18C9" w14:textId="0D28CBA5" w:rsidR="003E572C" w:rsidRDefault="00340CCB" w:rsidP="005903A2">
            <w:pPr>
              <w:jc w:val="center"/>
            </w:pPr>
            <w:r>
              <w:t>Prior input only.</w:t>
            </w:r>
          </w:p>
        </w:tc>
      </w:tr>
      <w:tr w:rsidR="003E572C" w14:paraId="4218D27F" w14:textId="7E559A46" w:rsidTr="003E572C">
        <w:tc>
          <w:tcPr>
            <w:tcW w:w="1253" w:type="dxa"/>
          </w:tcPr>
          <w:p w14:paraId="4780CD70" w14:textId="77777777" w:rsidR="003E572C" w:rsidRDefault="003E572C" w:rsidP="005903A2">
            <w:r>
              <w:t>NEW</w:t>
            </w:r>
          </w:p>
          <w:p w14:paraId="33562079" w14:textId="77777777" w:rsidR="003E572C" w:rsidRDefault="003E572C" w:rsidP="005903A2">
            <w:r>
              <w:t>9.2</w:t>
            </w:r>
          </w:p>
        </w:tc>
        <w:tc>
          <w:tcPr>
            <w:tcW w:w="4562" w:type="dxa"/>
          </w:tcPr>
          <w:p w14:paraId="0A28932F" w14:textId="77777777" w:rsidR="003E572C" w:rsidRDefault="003E572C" w:rsidP="005903A2">
            <w:r>
              <w:t>Review of progress of Internal Audit Strategy.</w:t>
            </w:r>
          </w:p>
        </w:tc>
        <w:tc>
          <w:tcPr>
            <w:tcW w:w="945" w:type="dxa"/>
          </w:tcPr>
          <w:p w14:paraId="51A321A7" w14:textId="77777777" w:rsidR="003E572C" w:rsidRDefault="003E572C" w:rsidP="005903A2">
            <w:pPr>
              <w:jc w:val="center"/>
            </w:pPr>
          </w:p>
        </w:tc>
        <w:tc>
          <w:tcPr>
            <w:tcW w:w="1679" w:type="dxa"/>
          </w:tcPr>
          <w:p w14:paraId="7A4EEA9E" w14:textId="77777777" w:rsidR="003E572C" w:rsidRDefault="003E572C" w:rsidP="005903A2">
            <w:pPr>
              <w:jc w:val="center"/>
            </w:pPr>
            <w:r>
              <w:sym w:font="Wingdings" w:char="F0FC"/>
            </w:r>
          </w:p>
        </w:tc>
        <w:tc>
          <w:tcPr>
            <w:tcW w:w="1679" w:type="dxa"/>
          </w:tcPr>
          <w:p w14:paraId="408B9F44" w14:textId="77777777" w:rsidR="003E572C" w:rsidRDefault="003E572C" w:rsidP="005903A2">
            <w:pPr>
              <w:jc w:val="center"/>
            </w:pPr>
          </w:p>
        </w:tc>
        <w:tc>
          <w:tcPr>
            <w:tcW w:w="877" w:type="dxa"/>
          </w:tcPr>
          <w:p w14:paraId="4769D4E3" w14:textId="77777777" w:rsidR="003E572C" w:rsidRDefault="003E572C" w:rsidP="005903A2">
            <w:pPr>
              <w:jc w:val="center"/>
            </w:pPr>
          </w:p>
        </w:tc>
        <w:tc>
          <w:tcPr>
            <w:tcW w:w="4398" w:type="dxa"/>
          </w:tcPr>
          <w:p w14:paraId="350C7387" w14:textId="57CBC9C0" w:rsidR="003E572C" w:rsidRDefault="00340CCB" w:rsidP="005903A2">
            <w:pPr>
              <w:jc w:val="center"/>
            </w:pPr>
            <w:r>
              <w:t>Prior input only.</w:t>
            </w:r>
          </w:p>
        </w:tc>
      </w:tr>
    </w:tbl>
    <w:p w14:paraId="4D50174C" w14:textId="6567BD08" w:rsidR="00502B27" w:rsidRDefault="00502B27" w:rsidP="00502B27">
      <w:pPr>
        <w:ind w:left="360"/>
      </w:pPr>
    </w:p>
    <w:p w14:paraId="26AD0634" w14:textId="69065DF9" w:rsidR="00306C3F" w:rsidRPr="00306C3F" w:rsidRDefault="00306C3F" w:rsidP="00340CCB">
      <w:pPr>
        <w:rPr>
          <w:u w:val="single"/>
        </w:rPr>
      </w:pPr>
      <w:r w:rsidRPr="00306C3F">
        <w:rPr>
          <w:u w:val="single"/>
        </w:rPr>
        <w:t>Notes to the suggested Annual Agenda Schedule</w:t>
      </w:r>
    </w:p>
    <w:p w14:paraId="149A8B30" w14:textId="6B0E8263" w:rsidR="00502B27" w:rsidRDefault="003147D8" w:rsidP="00502B27">
      <w:pPr>
        <w:ind w:left="360"/>
      </w:pPr>
      <w:r w:rsidRPr="003147D8">
        <w:rPr>
          <w:vertAlign w:val="superscript"/>
        </w:rPr>
        <w:t>1</w:t>
      </w:r>
      <w:r w:rsidR="00502B27">
        <w:t xml:space="preserve"> The suggested frequency is based on best practice, but Audit Committees may decide to have items more or less frequently depending on the size and nature of their internal audit function. Only the discussion and approval of performance objectives and the EQA Standards </w:t>
      </w:r>
      <w:r w:rsidR="005268A4">
        <w:t xml:space="preserve">have a </w:t>
      </w:r>
      <w:r w:rsidR="00502B27">
        <w:t>stipulate</w:t>
      </w:r>
      <w:r w:rsidR="005268A4">
        <w:t>d</w:t>
      </w:r>
      <w:r w:rsidR="00502B27">
        <w:t xml:space="preserve"> frequency</w:t>
      </w:r>
      <w:r w:rsidR="005268A4">
        <w:t xml:space="preserve"> in the new Global Internal Audit Standards</w:t>
      </w:r>
      <w:r w:rsidR="00B22D3D">
        <w:t xml:space="preserve">, however </w:t>
      </w:r>
      <w:r w:rsidR="00306C3F">
        <w:t xml:space="preserve">the review and discussion of the CAE’s reports are also expected to be performed at every meeting as well as annually. </w:t>
      </w:r>
    </w:p>
    <w:p w14:paraId="5113A9DC" w14:textId="77777777" w:rsidR="00306C3F" w:rsidRDefault="00306C3F" w:rsidP="00502B27">
      <w:pPr>
        <w:ind w:left="360"/>
      </w:pPr>
    </w:p>
    <w:p w14:paraId="79C662CD" w14:textId="4F44C560" w:rsidR="003A70A0" w:rsidRDefault="003147D8" w:rsidP="001E7B3A">
      <w:pPr>
        <w:ind w:left="360"/>
      </w:pPr>
      <w:r w:rsidRPr="003147D8">
        <w:rPr>
          <w:vertAlign w:val="superscript"/>
        </w:rPr>
        <w:t>2</w:t>
      </w:r>
      <w:r w:rsidR="00C13A51">
        <w:t xml:space="preserve"> These items may well be new for some audit committee agendas, or they are fundamental to ensuring that a sound understanding is in place of the Internal Audit Function. Therefore</w:t>
      </w:r>
      <w:r w:rsidR="00CA3C2D">
        <w:t>,</w:t>
      </w:r>
      <w:r w:rsidR="00C13A51">
        <w:t xml:space="preserve"> we are recommending that these are included on Audit Committee Agendas, before the effective date of 9 January 2025 where possible. </w:t>
      </w:r>
    </w:p>
    <w:p w14:paraId="0B99620D" w14:textId="77777777" w:rsidR="00306C3F" w:rsidRDefault="00306C3F" w:rsidP="001E7B3A">
      <w:pPr>
        <w:ind w:left="360"/>
      </w:pPr>
    </w:p>
    <w:p w14:paraId="069B7E76" w14:textId="2CA94921" w:rsidR="003147D8" w:rsidRPr="003147D8" w:rsidRDefault="003147D8" w:rsidP="001E7B3A">
      <w:pPr>
        <w:ind w:left="360"/>
      </w:pPr>
      <w:r w:rsidRPr="003C11BA">
        <w:rPr>
          <w:vertAlign w:val="superscript"/>
        </w:rPr>
        <w:t>3</w:t>
      </w:r>
      <w:r>
        <w:rPr>
          <w:vertAlign w:val="superscript"/>
        </w:rPr>
        <w:t xml:space="preserve"> </w:t>
      </w:r>
      <w:r>
        <w:t xml:space="preserve">The suggested frequency </w:t>
      </w:r>
      <w:r w:rsidR="00306C3F">
        <w:t>for these items</w:t>
      </w:r>
      <w:r>
        <w:t xml:space="preserve"> has been left open for the Audit Committee to determine, as the frequency will depend heavily on the size of the organisation</w:t>
      </w:r>
      <w:r w:rsidR="00536AA3">
        <w:t xml:space="preserve">, sector and resourcing model for internal audit. </w:t>
      </w:r>
      <w:r w:rsidR="001A7C23">
        <w:t>For example</w:t>
      </w:r>
      <w:r w:rsidR="00306C3F">
        <w:t>,</w:t>
      </w:r>
      <w:r w:rsidR="001A7C23">
        <w:t xml:space="preserve"> we would recommend that for audit</w:t>
      </w:r>
      <w:r w:rsidR="00875BF1">
        <w:t xml:space="preserve"> </w:t>
      </w:r>
      <w:r w:rsidR="001A7C23">
        <w:t xml:space="preserve">committees of large, highly regulated organisations with an inhouse internal audit function </w:t>
      </w:r>
      <w:r w:rsidR="00875BF1">
        <w:t>that the frequency is more regular</w:t>
      </w:r>
      <w:r w:rsidR="00306C3F">
        <w:t xml:space="preserve"> and likely to be annual in many cases</w:t>
      </w:r>
      <w:r w:rsidR="00875BF1">
        <w:t>, as opposed to those of small</w:t>
      </w:r>
      <w:r w:rsidR="00B22D3D">
        <w:t xml:space="preserve">, unregulated organisations where the internal audit function is outsourced where some of these may form part of the tender/bid process every three or five years. </w:t>
      </w:r>
    </w:p>
    <w:sectPr w:rsidR="003147D8" w:rsidRPr="003147D8" w:rsidSect="003E572C">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DAD7" w14:textId="77777777" w:rsidR="001E7B3A" w:rsidRDefault="001E7B3A" w:rsidP="001E7B3A">
      <w:pPr>
        <w:spacing w:after="0" w:line="240" w:lineRule="auto"/>
      </w:pPr>
      <w:r>
        <w:separator/>
      </w:r>
    </w:p>
  </w:endnote>
  <w:endnote w:type="continuationSeparator" w:id="0">
    <w:p w14:paraId="1209CEC8" w14:textId="77777777" w:rsidR="001E7B3A" w:rsidRDefault="001E7B3A" w:rsidP="001E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0375" w14:textId="77777777" w:rsidR="001E7B3A" w:rsidRDefault="001E7B3A" w:rsidP="001E7B3A">
      <w:pPr>
        <w:spacing w:after="0" w:line="240" w:lineRule="auto"/>
      </w:pPr>
      <w:r>
        <w:separator/>
      </w:r>
    </w:p>
  </w:footnote>
  <w:footnote w:type="continuationSeparator" w:id="0">
    <w:p w14:paraId="3AD5DA6E" w14:textId="77777777" w:rsidR="001E7B3A" w:rsidRDefault="001E7B3A" w:rsidP="001E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EB2D" w14:textId="38EDD8A9" w:rsidR="00557A80" w:rsidRPr="00367504" w:rsidRDefault="00557A80" w:rsidP="00557A80">
    <w:pPr>
      <w:rPr>
        <w:b/>
        <w:bCs/>
      </w:rPr>
    </w:pPr>
    <w:r w:rsidRPr="004D2C36">
      <w:rPr>
        <w:noProof/>
        <w:color w:val="0F9ED5" w:themeColor="accent4"/>
      </w:rPr>
      <w:drawing>
        <wp:anchor distT="0" distB="0" distL="114300" distR="114300" simplePos="0" relativeHeight="251659264" behindDoc="0" locked="0" layoutInCell="1" allowOverlap="1" wp14:anchorId="660C5918" wp14:editId="179DA0F7">
          <wp:simplePos x="0" y="0"/>
          <wp:positionH relativeFrom="column">
            <wp:posOffset>7283450</wp:posOffset>
          </wp:positionH>
          <wp:positionV relativeFrom="paragraph">
            <wp:posOffset>-176530</wp:posOffset>
          </wp:positionV>
          <wp:extent cx="2638425" cy="600075"/>
          <wp:effectExtent l="0" t="0" r="9525" b="9525"/>
          <wp:wrapSquare wrapText="bothSides"/>
          <wp:docPr id="10457447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44717"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8425" cy="600075"/>
                  </a:xfrm>
                  <a:prstGeom prst="rect">
                    <a:avLst/>
                  </a:prstGeom>
                </pic:spPr>
              </pic:pic>
            </a:graphicData>
          </a:graphic>
        </wp:anchor>
      </w:drawing>
    </w:r>
    <w:r w:rsidRPr="004D2C36">
      <w:rPr>
        <w:b/>
        <w:bCs/>
        <w:color w:val="0F9ED5" w:themeColor="accent4"/>
      </w:rPr>
      <w:t xml:space="preserve">Global Internal Audit Standards </w:t>
    </w:r>
    <w:r w:rsidRPr="004D2C36">
      <w:rPr>
        <w:b/>
        <w:bCs/>
        <w:color w:val="0F9ED5" w:themeColor="accent4"/>
        <w:vertAlign w:val="superscript"/>
      </w:rPr>
      <w:t xml:space="preserve">TM </w:t>
    </w:r>
    <w:r w:rsidRPr="004D2C36">
      <w:rPr>
        <w:b/>
        <w:bCs/>
        <w:color w:val="0F9ED5" w:themeColor="accent4"/>
      </w:rPr>
      <w:t>Transition</w:t>
    </w:r>
  </w:p>
  <w:p w14:paraId="7D639CBB" w14:textId="0FB2DDF3" w:rsidR="001E7B3A" w:rsidRDefault="00557A80" w:rsidP="00557A80">
    <w:r w:rsidRPr="004D2C36">
      <w:rPr>
        <w:b/>
        <w:bCs/>
        <w:color w:val="0F9ED5" w:themeColor="accent4"/>
      </w:rPr>
      <w:t xml:space="preserve">Audit Committee </w:t>
    </w:r>
    <w:r>
      <w:rPr>
        <w:b/>
        <w:bCs/>
        <w:color w:val="0F9ED5" w:themeColor="accent4"/>
      </w:rPr>
      <w:t>Annual Agenda Schedule Tool Kit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27"/>
    <w:rsid w:val="0002111C"/>
    <w:rsid w:val="00133479"/>
    <w:rsid w:val="001A7C23"/>
    <w:rsid w:val="001E7B3A"/>
    <w:rsid w:val="00306C3F"/>
    <w:rsid w:val="003147D8"/>
    <w:rsid w:val="00340CCB"/>
    <w:rsid w:val="003A70A0"/>
    <w:rsid w:val="003C11BA"/>
    <w:rsid w:val="003E572C"/>
    <w:rsid w:val="003E6E40"/>
    <w:rsid w:val="00453770"/>
    <w:rsid w:val="00502B27"/>
    <w:rsid w:val="005268A4"/>
    <w:rsid w:val="00536AA3"/>
    <w:rsid w:val="00557A80"/>
    <w:rsid w:val="0056364E"/>
    <w:rsid w:val="006A2B2B"/>
    <w:rsid w:val="00736408"/>
    <w:rsid w:val="00821D16"/>
    <w:rsid w:val="00875BF1"/>
    <w:rsid w:val="009A0661"/>
    <w:rsid w:val="00AD1F2E"/>
    <w:rsid w:val="00AE315E"/>
    <w:rsid w:val="00B22D3D"/>
    <w:rsid w:val="00B259BA"/>
    <w:rsid w:val="00C13A51"/>
    <w:rsid w:val="00CA3C2D"/>
    <w:rsid w:val="00D0294F"/>
    <w:rsid w:val="00D3494C"/>
    <w:rsid w:val="00D74A59"/>
    <w:rsid w:val="00E178F5"/>
    <w:rsid w:val="00E65B57"/>
    <w:rsid w:val="00E81681"/>
    <w:rsid w:val="00F27241"/>
    <w:rsid w:val="00F65B45"/>
    <w:rsid w:val="00F9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D1F"/>
  <w15:chartTrackingRefBased/>
  <w15:docId w15:val="{1C4BE41D-EA27-4956-A15B-35B89900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27"/>
  </w:style>
  <w:style w:type="paragraph" w:styleId="Heading1">
    <w:name w:val="heading 1"/>
    <w:basedOn w:val="Normal"/>
    <w:next w:val="Normal"/>
    <w:link w:val="Heading1Char"/>
    <w:uiPriority w:val="9"/>
    <w:qFormat/>
    <w:rsid w:val="00502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B27"/>
    <w:rPr>
      <w:rFonts w:eastAsiaTheme="majorEastAsia" w:cstheme="majorBidi"/>
      <w:color w:val="272727" w:themeColor="text1" w:themeTint="D8"/>
    </w:rPr>
  </w:style>
  <w:style w:type="paragraph" w:styleId="Title">
    <w:name w:val="Title"/>
    <w:basedOn w:val="Normal"/>
    <w:next w:val="Normal"/>
    <w:link w:val="TitleChar"/>
    <w:uiPriority w:val="10"/>
    <w:qFormat/>
    <w:rsid w:val="0050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B27"/>
    <w:pPr>
      <w:spacing w:before="160"/>
      <w:jc w:val="center"/>
    </w:pPr>
    <w:rPr>
      <w:i/>
      <w:iCs/>
      <w:color w:val="404040" w:themeColor="text1" w:themeTint="BF"/>
    </w:rPr>
  </w:style>
  <w:style w:type="character" w:customStyle="1" w:styleId="QuoteChar">
    <w:name w:val="Quote Char"/>
    <w:basedOn w:val="DefaultParagraphFont"/>
    <w:link w:val="Quote"/>
    <w:uiPriority w:val="29"/>
    <w:rsid w:val="00502B27"/>
    <w:rPr>
      <w:i/>
      <w:iCs/>
      <w:color w:val="404040" w:themeColor="text1" w:themeTint="BF"/>
    </w:rPr>
  </w:style>
  <w:style w:type="paragraph" w:styleId="ListParagraph">
    <w:name w:val="List Paragraph"/>
    <w:basedOn w:val="Normal"/>
    <w:uiPriority w:val="34"/>
    <w:qFormat/>
    <w:rsid w:val="00502B27"/>
    <w:pPr>
      <w:ind w:left="720"/>
      <w:contextualSpacing/>
    </w:pPr>
  </w:style>
  <w:style w:type="character" w:styleId="IntenseEmphasis">
    <w:name w:val="Intense Emphasis"/>
    <w:basedOn w:val="DefaultParagraphFont"/>
    <w:uiPriority w:val="21"/>
    <w:qFormat/>
    <w:rsid w:val="00502B27"/>
    <w:rPr>
      <w:i/>
      <w:iCs/>
      <w:color w:val="0F4761" w:themeColor="accent1" w:themeShade="BF"/>
    </w:rPr>
  </w:style>
  <w:style w:type="paragraph" w:styleId="IntenseQuote">
    <w:name w:val="Intense Quote"/>
    <w:basedOn w:val="Normal"/>
    <w:next w:val="Normal"/>
    <w:link w:val="IntenseQuoteChar"/>
    <w:uiPriority w:val="30"/>
    <w:qFormat/>
    <w:rsid w:val="00502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B27"/>
    <w:rPr>
      <w:i/>
      <w:iCs/>
      <w:color w:val="0F4761" w:themeColor="accent1" w:themeShade="BF"/>
    </w:rPr>
  </w:style>
  <w:style w:type="character" w:styleId="IntenseReference">
    <w:name w:val="Intense Reference"/>
    <w:basedOn w:val="DefaultParagraphFont"/>
    <w:uiPriority w:val="32"/>
    <w:qFormat/>
    <w:rsid w:val="00502B27"/>
    <w:rPr>
      <w:b/>
      <w:bCs/>
      <w:smallCaps/>
      <w:color w:val="0F4761" w:themeColor="accent1" w:themeShade="BF"/>
      <w:spacing w:val="5"/>
    </w:rPr>
  </w:style>
  <w:style w:type="table" w:styleId="TableGrid">
    <w:name w:val="Table Grid"/>
    <w:basedOn w:val="TableNormal"/>
    <w:uiPriority w:val="39"/>
    <w:rsid w:val="0050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B3A"/>
  </w:style>
  <w:style w:type="paragraph" w:styleId="Footer">
    <w:name w:val="footer"/>
    <w:basedOn w:val="Normal"/>
    <w:link w:val="FooterChar"/>
    <w:uiPriority w:val="99"/>
    <w:unhideWhenUsed/>
    <w:rsid w:val="001E7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Brook</dc:creator>
  <cp:keywords/>
  <dc:description/>
  <cp:lastModifiedBy>Ann Brook</cp:lastModifiedBy>
  <cp:revision>33</cp:revision>
  <dcterms:created xsi:type="dcterms:W3CDTF">2024-05-24T14:38:00Z</dcterms:created>
  <dcterms:modified xsi:type="dcterms:W3CDTF">2024-07-03T12:37:00Z</dcterms:modified>
</cp:coreProperties>
</file>